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«СПЕЦСТРОЙГАРАНТ»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1143926005596,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3906317122)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«Универсал-строй»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1022501913158,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2538069405)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«ПрофТеплоСтрой»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1082222002862,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2222072465)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«Региональный Инженерный Центр»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1076166000085,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6166059828)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