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«ВИРАГ»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1033400172024,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3442018786)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«Новосибирский институт Промзернопроект»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1025402454978,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5406198424)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компания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1105401000385,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5401333140)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«ПРОЕКТСТРОЙМОНТАЖ-КАЛИНИНГРАД»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1063906153530,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3906164973)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«Экосервис»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1021100896728,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1106013442)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