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«ХайВэй»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1076168000545,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6168013811)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«Унистрой 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1089848022582,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7802451410)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«АрсеналСпецМонтаж»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1105473004141,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5408279118)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1097847133911,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7839404335)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ПСК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1095406035845,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5406551086)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1096672020906,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6672307932)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1102223003178,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2223575616)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«Катуньгэсстрой»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1020400664129,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0408002981)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1065401100709,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5401276460)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«СистемаСтрой»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1072221002050,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2221124142)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 «Гефест»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1102225004584,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2225109226)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«Алтайгазаппарат»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1022201518019,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2224073168)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1086674029881,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6674315858)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«ТПК СтройМаг»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1077847615735,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7840371959)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1057424516115,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7453142704)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1087232031633,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7202188630)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«С.К. «ФСП»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1089848001011,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7802450046)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«М29»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1089848058410,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7805478843)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1037821045900,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7810282726)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«ДЕФТ»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1089848046860,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7802453520)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«Пульсар»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1097847134417,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7805492083)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«Три-С»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1067847455378,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7804332672)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«Новый 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1027804918096,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«БалтТехКом»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1089847256245,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7801473026)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«Ралекс»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1023901955824,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3909024156)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«Реут-Климат»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1053900018336,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3905063700)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1089847247511,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«Спутник»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1096183003696,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1089847029502,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7804381126)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1026102196691,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6149001120)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«СибАльянсСтрой»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1075404025157,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5404337665)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1075404033540,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5404344912)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«Мысковское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1094214001122,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4214031395)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«Друза»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1073905025622,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3904092339)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«Ампер»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1024700873922,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4704049391)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«ПОДРЯД»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1055404158050,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5404258100)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инженерно-строительная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1104704000224,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4704082832)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1066150028559,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6150049768)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«Бетопол-Инжиниринг»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6150061719)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«СУ-6»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1085470000538,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5451111915)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«Сибстрин»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1021400970612,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1433000926)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«Гермес»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1085404004894,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5404352529)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1037843071331,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7825502974)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«Аверс»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1085402022727,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5402506068)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1025404790036,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5446112487)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5067847183190,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7810069035)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«Технологии развития недвижимости»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1037867015064,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7841008096)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«Траверс+»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1037821107026,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7810299906)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