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«Содружество-строй»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1056000404866,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6027091172)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1092223009944,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СК «Петроград»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7804354845)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«Стройкомплектснаб»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1020400665339,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0411075972)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«Строительно-монтажная компания «КИТ»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1102224000251,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2224138288)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«Уральская энергостроительная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1056605390027,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6674171780)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«СибМтрейд»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1097847057219,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«ГлавСпецСтрой»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1105401002574,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5401334708)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«Сибирская Строительная Компания «ЭталонПром»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1105410000640,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5410030343)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«Друза»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1073905025622,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3904092339)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«Ампер»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1024700873922,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4704049391)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«Унистрой Оптима»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1089848022582,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7802451410)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1073906027997,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3906179539)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«БалтКонкрит»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1053900111957,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3908032299)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«Лифт Рем-Строй»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1066163069565,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6163082579)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«ПетроЭлектроСвязь»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7805477053)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1065401100709,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5401276460)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1107847053170,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7841421458)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