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12/2009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декабря 2009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«ГРАДОСТРОИТЕЛЬ»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1097847231657,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7840417755)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«Контур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1092452000024,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2452036140)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«Импульс Промышленные Котельные»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1025002880154,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5024051405)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«Неманбуммонтаж»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1033908002006,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3911010993)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«СтройПрофиль»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1089847333322,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7801477599)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«ГранитСтрой»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1089848045540,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7804404327)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«Навигатор-СБС»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1037843028520,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7825466405)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07 декабря 2009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