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469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191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ТОМ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172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900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гионСтройк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619300681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60810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6081069-16042012-898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гионСтройк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619300681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60810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идроСибАльян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761150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68440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6684400-25042012-902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идроСибАльян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4761150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68440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м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20017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49097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2490971-26052010-62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мСтрой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20017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49097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ОБРАКС СБМ Групп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777467968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1864525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18645255-06082010-68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ОБРАКС СБМ Групп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777467968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1864525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ысококачественные строительные технологи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1813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2307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5523077-27082010-70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ысококачественные строительные технологи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1813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2307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АртЛэн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640127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6980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4269805-18082010-70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АртЛэн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1640127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6980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З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400348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182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4121823-11102010-736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З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400348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182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Электро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40113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827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4128272-25082010-70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Электро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40113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827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