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1083455000970,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3403024313)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1117847253017,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7802754439)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«Конструкторско-технологический центр»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1127847332568,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7810873493)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