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тажно-Строительное Управление «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998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198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043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07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восибирский строительный тр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540418053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26261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Фас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54760851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58985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9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ОУ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78470903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33525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9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ду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222200349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5453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Б Компл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7020310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70253039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.С.Б.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84704793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74067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лгоПр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430041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0013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3100137-26112010-75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лгоПр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4430041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0013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-Дон-2010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50061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310352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3103525-01122010-753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-Дон-2010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9500615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310352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