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«СеверСнабСтрой»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1081435582491,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1435209730)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«Прогресс»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1083254001930,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3254501302)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«Электросельхозпроммонтаж»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1093459006046,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3442106922)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«Акфен-бетонстрой»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3905082982)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1040822200198,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0808919170)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