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апреля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«Инженерные сети ВК»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117847099429,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7811642227)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«Дорожная Строительная Транспортная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1112372001180,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2372000847)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21.04.2017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«СпецСтройПроект»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1022601985977,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2635057966)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21.04.2017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Монтажная Компания «Гранит»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1092302002099,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2302062230)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839 от 19.04.2017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Монтажная Компания «Гранит»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1092302002099,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2302062230)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839 от 19.04.2017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Монтажная Компания «Гранит»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1092302002099,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2302062230)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апреля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