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т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228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5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тайгазаппара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2015180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07316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3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Ч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04110049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1113986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3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Фирма Гер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04979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201922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786 от 14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Фирма Гер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04979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201922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100 от 23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Фирма Ге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0497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201922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СТ (системы современного телевидения)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2013813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04048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106 от 23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СТ (системы современного телевидения)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22013813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04048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 от 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СТ (системы современного телевидения)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13813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04048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ОКО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619500169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310108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065 от 18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ОКО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619500169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310108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101 от 23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ОКО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50016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310108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