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ститут экономики города и управления инвестициями в строительств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6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871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удия М4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293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01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Комплек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одски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4590518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850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Копычину-Лоренса Сергея Максим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5390611500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39304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ЛЕ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643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45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НТК «АЭРОТЕХНИЧЕСКИЙ ЦЕНТР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7821053115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014960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1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