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«КОМПЛЕКСНЫЕ СИСТЕМЫ БЕЗОПАСНОСТИ»</w:t>
      </w:r>
      <w:r w:rsidR="00B9210B" w:rsidRPr="00241327">
        <w:rPr>
          <w:sz w:val="22"/>
          <w:szCs w:val="22"/>
          <w:lang w:val="en-US"/>
        </w:rPr>
        <w:t xml:space="preserve"> (ОГРН 1083925000390,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3905600112)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«КОМПЛЕКСНЫЕ СИСТЕМЫ БЕЗОПАСНОСТИ»</w:t>
      </w:r>
      <w:r w:rsidRPr="00496A50">
        <w:rPr>
          <w:sz w:val="22"/>
          <w:szCs w:val="22"/>
        </w:rPr>
        <w:t xml:space="preserve"> (ОГРН 1083925000390,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3905600112)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«КОМПЛЕКСНЫЕ СИСТЕМЫ БЕЗОПАСНОСТИ»</w:t>
      </w:r>
      <w:r w:rsidRPr="00823293">
        <w:rPr>
          <w:sz w:val="22"/>
          <w:szCs w:val="22"/>
        </w:rPr>
        <w:t xml:space="preserve"> (ОГРН 1083925000390, ИНН 3905600112)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