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«ГК Ренессанс»</w:t>
      </w:r>
      <w:r w:rsidR="00B9210B" w:rsidRPr="00241327">
        <w:rPr>
          <w:sz w:val="22"/>
          <w:szCs w:val="22"/>
          <w:lang w:val="en-US"/>
        </w:rPr>
        <w:t xml:space="preserve"> (ОГРН 1207800068960,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7842181590)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«ГК Ренессанс»</w:t>
      </w:r>
      <w:r w:rsidRPr="00496A50">
        <w:rPr>
          <w:sz w:val="22"/>
          <w:szCs w:val="22"/>
        </w:rPr>
        <w:t xml:space="preserve"> (ОГРН 1207800068960,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7842181590)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«ЭВОС»</w:t>
      </w:r>
      <w:r w:rsidR="00B9210B" w:rsidRPr="00241327">
        <w:rPr>
          <w:sz w:val="22"/>
          <w:szCs w:val="22"/>
          <w:lang w:val="en-US"/>
        </w:rPr>
        <w:t xml:space="preserve"> (ОГРН 1227800005124,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7804690195)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«ЭВОС»</w:t>
      </w:r>
      <w:r w:rsidRPr="00496A50">
        <w:rPr>
          <w:sz w:val="22"/>
          <w:szCs w:val="22"/>
        </w:rPr>
        <w:t xml:space="preserve"> (ОГРН 1227800005124,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7804690195)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августа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