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1057200174558,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7206030523)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1052202338176,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2225072738)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«Баутехник»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1105476040010,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5406638682)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«Катуньгэсстрой»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1020400664129,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0408002981)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«Элитстрой-Кош-Агач»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1080401002791,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0401006680)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