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64/2010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01 сентября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«Евроинвест»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1025900517280,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5902137669)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Индивидуального предпринимателя Грачева Валерия Геннадьевича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ОГРНИП 307615004500020,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615002477111)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«СтройСиб»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1082222002664,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2222072232)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«София»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1026102230186,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6150012084)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«Дор-Строй-Сервис»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1026102217130,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6150037240)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«ПРЕДПРИЯТИЕ ТЕПЛОСТРОЙ»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1027739714540,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7707063745)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«Региональный Инженерный Центр»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1076166000085,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6166059828)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«ВотерПрайсИнвест»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1057811584610,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7810033046)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01 сентября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