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диный проектно-экспертный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257013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7126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рвисКомплек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590046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17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проект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-Компл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506784712709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141193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2.02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3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