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 -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1053900160555,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3908032475)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1027806077265,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7825688172)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«Железногорское управление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1032401227264,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2452027971)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1037700012822,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7736209043)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«Партнеринвестстрой»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1035008252840,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5041015206)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1105053000931,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5053068900)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«Академэлектромонтаж»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1037843038595,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7803064678)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«Котельная компания «ВУЛКАН»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1107847037407,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7804431850)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1065404083997,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5404275507)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«СИТИ»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1079847120374,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7802415228)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08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