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11/2012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февраля 2012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1037811063135,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7805253374)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«Мысковское ремонтно-строительное управление»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1094214001122,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4214031395)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«КАРУС-Строй»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1097746652706,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7718780840)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«Тепломонтажное управление №6»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1087746494780,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7710714066)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10.02.2012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10 февраля 2012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