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ф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20028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7246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ПЛОЭКОЛО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11774605196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875359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Усть-Коксинское дорожное ремонтно-строительное предприят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04040094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600484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СК «Протэ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30039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7823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ые Строитель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517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215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рла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5044515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401157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5400089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1810236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Тепломонтаж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2209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15366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дземное и подземное строительство. 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99949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0254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