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«СОЮЗМОНТАЖСТРОЙ»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1076155005365,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6155047820)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«Сэлт 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1115476037170,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5405432311)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«ГлавСпецСтрой»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1105401002574,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5401334708)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1046122002453,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6122008061)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