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1066165051270,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6165131623)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унитарное предприятие «Волгодонская городская электрическая сеть»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1026101926070,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6143014080)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«ДонРемСтрой»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1106174000206,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6143073625)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1032202181857,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2224083952)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Государственное унитарное предприятие Ростовской области «Орловское дорожное ремонтно-строительное управление»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1026103711644,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6126009877)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