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307660628900010,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660601919516)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1064705010116,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4705031326)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«Техносвет-Сервис»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1057813001355,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7810044305)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«АлтайКапСтрой»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1082222003203,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2222072793)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1106195001692,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6163101084)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Управление-19»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1089848009679,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7814422156)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1113458001249,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3426014304)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«Диагональ»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1072222012543,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2222069198)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С-022-2222069198-17032010-411/2,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«Диагональ»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1072222012543,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2222069198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«Элитстрой-Усть-Кан»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1080404000445,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0403005516)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С-004-0403005516-24032010-439/3,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«Элитстрой-Усть-Кан»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1080404000445,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0403005516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«Дортранссигнал»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1023901013432,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3906100391)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С-039-3906100391-23042010-544/2,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города Калининграда «Дортранссигнал»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1023901013432,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3906100391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«РЕКА»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1027801576000,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7802021992)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С-098-7802021992-07052010-588/2,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«РЕКА»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1027801576000,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7802021992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«СпецСтройСоюз»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1107847039211,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7838438719)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С-098-7838438719-17052010-608/2,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«СпецСтройСоюз»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1107847039211,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7838438719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«ВитаСтрой»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1107847036769,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7842424758)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С-098-7842424758-17052010-610/2,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«ВитаСтрой»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1107847036769,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7842424758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«СтройСвет»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1105402003211,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5402524557)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С-054-5402524557-19052010-615/3,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«СтройСвет»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1105402003211,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5402524557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«Максистрой»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1107847043391,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7802494413)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С-098-7802494413-19052010-617/2,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«Максистрой»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1107847043391,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7802494413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«Производственно-строительная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1105402003431,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5402524797)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С-054-5402524797-21052010-620/2,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«Производственно-строительная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1105402003431,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5402524797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1046165008867,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6165114882)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С-061-6165114882-02062010-637/2,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1046165008867,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6165114882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«ТПК СтройМаг»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1077847615735,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7840371959)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С-098-7840371959-02062010-638/2,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«ТПК СтройМаг»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1077847615735,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7840371959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«Гебос экостатиба»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Код 302430306,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9909335956)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С-099-9909335956-15042011-813/1,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«Гебос экостатиба»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Код 302430306,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9909335956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«Витязь»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1106186000910,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6153028131)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С-061-6153028131-08042011-807/1,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«Витязь»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1106186000910,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6153028131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