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И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10010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50104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РАМЭК-В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24865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0608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ия Ю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600030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44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Форпост Балтики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76894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315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Красная Площад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700427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6076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