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«Арбат. Инженерные системы»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1123926012858,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3906260846)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«Современные строительные технологии»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1083925013480,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3917501437)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«ВАБЭСТ»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1100411001063,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0411149350)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«СПК Аква-Вива»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1077847232605,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7804359963)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«Телекомстрой»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1082223003103,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2223968247)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«ОТДЕЛОЧНИК»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1022200564737,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2204002017)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 «Управление инвестициями»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1073917007328,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3916012842)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«Прогресс»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1083254001930,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3254501302)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2.9.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«НьюКом 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1089847372185,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7841395423)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2.10.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«ТЕХНОСТРОЙСЕРВИС»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1073905021321,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3905086240)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