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Индивидуального предпринимателя Мурджикнели Генади Владимировича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308667201000016,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667220383878)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«ВотерПрайсИнвест»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1057811584610,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7810033046)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«Генподрядное Управление ПСТ»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1077847588675,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7841370179)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«РосЭлектроСтрой»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1086027009034,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6027118233)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«Музейные технологии»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1037832002966,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7814068709)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«Музейное оборудование и 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1067847172623,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7814335859)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ПСК «Монолит»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1095406035845,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5406551086)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1092223005819,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2223971507)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«ТЭС»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1095401012464,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5401332570)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«Востокспецавтоматика»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1025401018290,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5402141723)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«Ай Пи Центр»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1107847045261,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7813465069)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«ПФ-Комплекс»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1037811001150,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7805199430)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НПФ «ТЕЗАУРУС»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1081831010689,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1831130924)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Фирма «Ремстроймонтаж»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1089848031900,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7810535991)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«Строительно-производственное объединение СФЕРА»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1107847026143,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7839418024)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«Электросельхозпроммонтаж»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1093459006046,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3442106922)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«ПОДРЯД»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1055404158050,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5404258100)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Производственная компания «САЛЮТ»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1105405002889,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5405408478)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«МонтажТехСтрой -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1053900160555,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3908032475)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«Технология»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1076143000010,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6143064412)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«Колизей»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1073906028789,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3906180069)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«Феникс»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1105405001448,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5405407570)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«РегионСпецСтрой»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1089848039412,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7814423840)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«Енисей»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1025202195941,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5254022399)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«АНИС»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1089847308440,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7841392430)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02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