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4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октября 2014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нергия Юг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346000300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4603446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10.2014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лектромашин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7847307073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5074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10.2014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инвесттехнологии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616300329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616309277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Легион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615000049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615005593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Тех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610145488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612600814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ожСтройМонта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346000463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4511306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 «СтройГАЗ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220113111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200841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1 октября 2014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