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«ДИАПАЗОН»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1027807560967,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7814027004)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1057200174558,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7206030523)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«Спецавтоматика-С»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7801483289)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«Бийское 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1022200553330,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2204010635)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«КИТ»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2224138288)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«АРТЕМИДА-ДОН»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1026101926630,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6143043412)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60-я параллель»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1037819013704,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7807053229)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«Петербургская Буровая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1097847260785,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7814447270)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«Молния»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1026101887206,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6142000092)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1089847029502,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7804381126)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1097847171091,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7816466790)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«Невский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7816421528)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«АС-РемСтрой»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1096165004814,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6165158255)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«Санкт-Петербургская Электромонтажная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1077847567115,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7804370170)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