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Покровского А.И.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«Светлоярский»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1053458066848,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3426010902)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«Батима»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1085406040103,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5406506326)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26.01.2017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1056000404866,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6027091172)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151 от 26.01.2017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«Содружество-строй»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1056000404866,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6027091172)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151 от 26.01.2017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«Содружество-строй»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1056000404866,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6027091172)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1037800102273,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7801242519)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87 от 19.01.2017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1037800102273,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7801242519)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167 от 27.01.2017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«Северо-Западная инвестиционная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1037800102273,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7801242519)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