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«Путеец»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1082224011462,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2224128427)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«ВЭЛКОМ-Сибирь»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1065406163261,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5406369038)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1022200918871,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2221049135)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1037821076226,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7810288414)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Муниципального казенного учреждения «Служба заказчика Зеленоградского района»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1053909026082,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3918027065)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«ВодоСтройПроект»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1107847302144,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7816496347)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16.05.2011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18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