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«ЭЛВИС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1027809237675,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7825088802)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3446037236)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ремонтно-строительное управление-7»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1105405006959,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5405410276)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«Ордынский теплоучасток 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1085456000728,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5434113528)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«Строительный центр «ХЭЛП»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1117746277164,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7733764377)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