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«Строительное управление N 60»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1037821057218,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7810158775)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«Симплекс»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1066165051270,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6165131623)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 «Волгодонская городская электрическая сеть»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1026101926070,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6143014080)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«ДонРемСтрой»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1106174000206,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6143073625)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«Строй-Индустрия»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1032202181857,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2224083952)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 Ростовской области «Орловское дорожное ремонтно-строительное управление»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1026103711644,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6126009877)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